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3" w:type="dxa"/>
        <w:tblLayout w:type="fixed"/>
        <w:tblLook w:val="04A0" w:firstRow="1" w:lastRow="0" w:firstColumn="1" w:lastColumn="0" w:noHBand="0" w:noVBand="1"/>
      </w:tblPr>
      <w:tblGrid>
        <w:gridCol w:w="4493"/>
        <w:gridCol w:w="556"/>
        <w:gridCol w:w="34"/>
        <w:gridCol w:w="590"/>
        <w:gridCol w:w="620"/>
        <w:gridCol w:w="100"/>
        <w:gridCol w:w="3855"/>
        <w:gridCol w:w="105"/>
      </w:tblGrid>
      <w:tr w:rsidR="00CC3868" w:rsidRPr="00DA61DC" w:rsidTr="00C63E93">
        <w:trPr>
          <w:trHeight w:val="420"/>
        </w:trPr>
        <w:tc>
          <w:tcPr>
            <w:tcW w:w="10353" w:type="dxa"/>
            <w:gridSpan w:val="8"/>
            <w:tcBorders>
              <w:top w:val="nil"/>
              <w:left w:val="nil"/>
              <w:bottom w:val="nil"/>
              <w:right w:val="nil"/>
            </w:tcBorders>
            <w:shd w:val="clear" w:color="auto" w:fill="auto"/>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32"/>
                <w:szCs w:val="32"/>
                <w:lang w:eastAsia="en-US"/>
              </w:rPr>
            </w:pPr>
            <w:bookmarkStart w:id="0" w:name="_GoBack"/>
            <w:bookmarkEnd w:id="0"/>
            <w:r w:rsidRPr="00DA61DC">
              <w:rPr>
                <w:rFonts w:ascii="Garamond" w:hAnsi="Garamond"/>
                <w:b/>
                <w:color w:val="auto"/>
                <w:sz w:val="16"/>
                <w:szCs w:val="16"/>
              </w:rPr>
              <w:br w:type="page"/>
            </w:r>
            <w:r w:rsidRPr="00DA61DC">
              <w:rPr>
                <w:rFonts w:ascii="Garamond" w:eastAsia="Times New Roman" w:hAnsi="Garamond" w:cs="Times New Roman"/>
                <w:b/>
                <w:bCs/>
                <w:color w:val="000000"/>
                <w:sz w:val="32"/>
                <w:szCs w:val="32"/>
                <w:lang w:eastAsia="en-US"/>
              </w:rPr>
              <w:t>Attachment A</w:t>
            </w:r>
          </w:p>
          <w:p w:rsidR="00CC3868" w:rsidRPr="00DA61DC" w:rsidRDefault="00CC3868" w:rsidP="00C63E93">
            <w:pPr>
              <w:spacing w:after="0" w:line="240" w:lineRule="auto"/>
              <w:jc w:val="center"/>
              <w:rPr>
                <w:rFonts w:ascii="Garamond" w:eastAsia="Times New Roman" w:hAnsi="Garamond" w:cs="Times New Roman"/>
                <w:b/>
                <w:bCs/>
                <w:color w:val="000000"/>
                <w:sz w:val="32"/>
                <w:szCs w:val="32"/>
                <w:lang w:eastAsia="en-US"/>
              </w:rPr>
            </w:pPr>
          </w:p>
          <w:p w:rsidR="00CC3868" w:rsidRPr="00DA61DC" w:rsidRDefault="00CC3868" w:rsidP="00C63E93">
            <w:pPr>
              <w:spacing w:after="0" w:line="240" w:lineRule="auto"/>
              <w:jc w:val="center"/>
              <w:rPr>
                <w:rFonts w:ascii="Garamond" w:eastAsia="Times New Roman" w:hAnsi="Garamond" w:cs="Times New Roman"/>
                <w:b/>
                <w:bCs/>
                <w:color w:val="000000"/>
                <w:sz w:val="32"/>
                <w:szCs w:val="32"/>
                <w:lang w:eastAsia="en-US"/>
              </w:rPr>
            </w:pPr>
            <w:r w:rsidRPr="00DA61DC">
              <w:rPr>
                <w:rFonts w:ascii="Garamond" w:eastAsia="Times New Roman" w:hAnsi="Garamond" w:cs="Times New Roman"/>
                <w:b/>
                <w:bCs/>
                <w:color w:val="000000"/>
                <w:sz w:val="32"/>
                <w:szCs w:val="32"/>
                <w:lang w:eastAsia="en-US"/>
              </w:rPr>
              <w:t>AmeriCorps State and National</w:t>
            </w:r>
          </w:p>
        </w:tc>
      </w:tr>
      <w:tr w:rsidR="00CC3868" w:rsidRPr="00DA61DC" w:rsidTr="00C63E93">
        <w:trPr>
          <w:trHeight w:val="420"/>
        </w:trPr>
        <w:tc>
          <w:tcPr>
            <w:tcW w:w="10353" w:type="dxa"/>
            <w:gridSpan w:val="8"/>
            <w:tcBorders>
              <w:top w:val="nil"/>
              <w:left w:val="nil"/>
              <w:bottom w:val="nil"/>
              <w:right w:val="nil"/>
            </w:tcBorders>
            <w:shd w:val="clear" w:color="auto" w:fill="auto"/>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32"/>
                <w:szCs w:val="32"/>
                <w:lang w:eastAsia="en-US"/>
              </w:rPr>
            </w:pPr>
            <w:r w:rsidRPr="00DA61DC">
              <w:rPr>
                <w:rFonts w:ascii="Garamond" w:eastAsia="Times New Roman" w:hAnsi="Garamond" w:cs="Times New Roman"/>
                <w:b/>
                <w:bCs/>
                <w:color w:val="000000"/>
                <w:sz w:val="32"/>
                <w:szCs w:val="32"/>
                <w:lang w:eastAsia="en-US"/>
              </w:rPr>
              <w:t>Grievance Procedure Checklist</w:t>
            </w:r>
          </w:p>
        </w:tc>
      </w:tr>
      <w:tr w:rsidR="00CC3868" w:rsidRPr="00DA61DC" w:rsidTr="00C63E93">
        <w:trPr>
          <w:trHeight w:val="420"/>
        </w:trPr>
        <w:tc>
          <w:tcPr>
            <w:tcW w:w="10353" w:type="dxa"/>
            <w:gridSpan w:val="8"/>
            <w:tcBorders>
              <w:top w:val="nil"/>
              <w:left w:val="nil"/>
              <w:bottom w:val="nil"/>
              <w:right w:val="nil"/>
            </w:tcBorders>
            <w:shd w:val="clear" w:color="auto" w:fill="auto"/>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32"/>
                <w:szCs w:val="32"/>
                <w:lang w:eastAsia="en-US"/>
              </w:rPr>
            </w:pPr>
            <w:r w:rsidRPr="00DA61DC">
              <w:rPr>
                <w:rFonts w:ascii="Garamond" w:eastAsia="Times New Roman" w:hAnsi="Garamond" w:cs="Times New Roman"/>
                <w:b/>
                <w:bCs/>
                <w:color w:val="000000"/>
                <w:sz w:val="32"/>
                <w:szCs w:val="32"/>
                <w:lang w:eastAsia="en-US"/>
              </w:rPr>
              <w:t>Title 45 Code of Federal Regulations Sec. 2540.230</w:t>
            </w:r>
          </w:p>
        </w:tc>
      </w:tr>
      <w:tr w:rsidR="00CC3868" w:rsidRPr="00DA61DC" w:rsidTr="00C63E93">
        <w:trPr>
          <w:trHeight w:val="300"/>
        </w:trPr>
        <w:tc>
          <w:tcPr>
            <w:tcW w:w="4493"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bookmarkStart w:id="1" w:name="_Hlk506535867"/>
            <w:r w:rsidRPr="00DA61DC">
              <w:rPr>
                <w:rFonts w:ascii="Garamond" w:eastAsia="Times New Roman" w:hAnsi="Garamond" w:cs="Times New Roman"/>
                <w:b/>
                <w:bCs/>
                <w:color w:val="000000"/>
                <w:sz w:val="22"/>
                <w:szCs w:val="22"/>
                <w:lang w:eastAsia="en-US"/>
              </w:rPr>
              <w:t>Requirement</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Yes</w:t>
            </w:r>
          </w:p>
        </w:tc>
        <w:tc>
          <w:tcPr>
            <w:tcW w:w="590" w:type="dxa"/>
            <w:tcBorders>
              <w:top w:val="single" w:sz="4" w:space="0" w:color="auto"/>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No</w:t>
            </w: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N/A</w:t>
            </w: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Comments</w:t>
            </w:r>
          </w:p>
        </w:tc>
      </w:tr>
      <w:bookmarkEnd w:id="1"/>
      <w:tr w:rsidR="00CC3868" w:rsidRPr="00DA61DC" w:rsidTr="00C63E93">
        <w:trPr>
          <w:trHeight w:val="300"/>
        </w:trPr>
        <w:tc>
          <w:tcPr>
            <w:tcW w:w="10353" w:type="dxa"/>
            <w:gridSpan w:val="8"/>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General</w:t>
            </w:r>
          </w:p>
        </w:tc>
      </w:tr>
      <w:tr w:rsidR="00CC3868" w:rsidRPr="00DA61DC" w:rsidTr="00C63E93">
        <w:trPr>
          <w:trHeight w:val="615"/>
        </w:trPr>
        <w:tc>
          <w:tcPr>
            <w:tcW w:w="4493" w:type="dxa"/>
            <w:tcBorders>
              <w:top w:val="nil"/>
              <w:left w:val="single" w:sz="4" w:space="0" w:color="auto"/>
              <w:bottom w:val="single" w:sz="4" w:space="0" w:color="auto"/>
              <w:right w:val="single" w:sz="4" w:space="0" w:color="auto"/>
            </w:tcBorders>
            <w:shd w:val="clear" w:color="auto" w:fill="auto"/>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Procedure is open to grievances from participants, labor organizations, and other interested individuals concerning the AmeriCorps program</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A.  Alternative Dispute Resolution (ADR) Grantees have the option of including ADR.  If the procedure doesn’t include ADR, indicate ‘NA’</w:t>
            </w: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ADR is initiated within 45 calendar days of the alleged occurrence.</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At initial session of dispute resolution proceedings, party is advised in writing of right to file a grievance and right to arbitration.</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9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If matter is resolved, the terms of the resolution are recorded in a written agreement, and the party agrees to forego filing any further grievance on the matter under consideration.</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process is aided by a neutral party and the neutral party may not compel a resolution.</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proceedings are informal.  The rules of evidence do not apply.</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45"/>
        </w:trPr>
        <w:tc>
          <w:tcPr>
            <w:tcW w:w="4493" w:type="dxa"/>
            <w:tcBorders>
              <w:top w:val="nil"/>
              <w:left w:val="single" w:sz="4" w:space="0" w:color="auto"/>
              <w:bottom w:val="single" w:sz="4" w:space="0" w:color="auto"/>
              <w:right w:val="single" w:sz="4" w:space="0" w:color="auto"/>
            </w:tcBorders>
            <w:shd w:val="clear" w:color="auto" w:fill="auto"/>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With the exception of a written agreement, the proceedings are confidential.</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9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If matter not resolved within 30 calendar days from the date the informal dispute resolution process began, aggrieved party is informed in writing of right to file a formal grievance.</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B. Grievance procedure for unresolved complaints</w:t>
            </w: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neutral party is not involved in formal complaint process.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00"/>
        </w:trPr>
        <w:tc>
          <w:tcPr>
            <w:tcW w:w="4493" w:type="dxa"/>
            <w:tcBorders>
              <w:top w:val="nil"/>
              <w:left w:val="single" w:sz="4" w:space="0" w:color="auto"/>
              <w:bottom w:val="single" w:sz="4" w:space="0" w:color="auto"/>
              <w:right w:val="single" w:sz="4" w:space="0" w:color="auto"/>
            </w:tcBorders>
            <w:shd w:val="clear" w:color="auto" w:fill="auto"/>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Communications or proceedings of the informal dispute resolution process are not referred to or introduced into evidence at the grievance and arbitration hearing.</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C.  Time Limitations</w:t>
            </w:r>
          </w:p>
        </w:tc>
      </w:tr>
      <w:tr w:rsidR="00CC3868" w:rsidRPr="00DA61DC" w:rsidTr="00C63E93">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Grievance is made no later than one year after the alleged occurrence (except for fraud and criminal activity).</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hearing is conducted no later 30 calendar days after the filing.</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 decision is made no later than 60 calendar days after the filing.</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gridAfter w:val="1"/>
          <w:wAfter w:w="105" w:type="dxa"/>
          <w:trHeight w:val="300"/>
        </w:trPr>
        <w:tc>
          <w:tcPr>
            <w:tcW w:w="4493" w:type="dxa"/>
            <w:tcBorders>
              <w:top w:val="nil"/>
              <w:left w:val="nil"/>
              <w:bottom w:val="nil"/>
              <w:right w:val="nil"/>
            </w:tcBorders>
            <w:shd w:val="clear" w:color="auto" w:fill="auto"/>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p w:rsidR="00CC3868" w:rsidRDefault="00CC3868" w:rsidP="00C63E93">
            <w:pPr>
              <w:spacing w:after="0" w:line="240" w:lineRule="auto"/>
              <w:rPr>
                <w:rFonts w:ascii="Garamond" w:eastAsia="Times New Roman" w:hAnsi="Garamond" w:cs="Times New Roman"/>
                <w:color w:val="000000"/>
                <w:sz w:val="22"/>
                <w:szCs w:val="22"/>
                <w:lang w:eastAsia="en-US"/>
              </w:rPr>
            </w:pPr>
          </w:p>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556" w:type="dxa"/>
            <w:tcBorders>
              <w:top w:val="nil"/>
              <w:left w:val="nil"/>
              <w:bottom w:val="nil"/>
              <w:right w:val="nil"/>
            </w:tcBorders>
            <w:shd w:val="clear" w:color="auto" w:fill="auto"/>
            <w:noWrap/>
            <w:vAlign w:val="bottom"/>
          </w:tcPr>
          <w:p w:rsidR="00CC3868" w:rsidRPr="00DA61DC" w:rsidRDefault="00CC3868" w:rsidP="00C63E93">
            <w:pPr>
              <w:spacing w:after="0" w:line="240" w:lineRule="auto"/>
              <w:rPr>
                <w:rFonts w:ascii="Garamond" w:eastAsia="Times New Roman" w:hAnsi="Garamond" w:cs="Times New Roman"/>
                <w:color w:val="auto"/>
                <w:lang w:eastAsia="en-US"/>
              </w:rPr>
            </w:pPr>
          </w:p>
        </w:tc>
        <w:tc>
          <w:tcPr>
            <w:tcW w:w="624" w:type="dxa"/>
            <w:gridSpan w:val="2"/>
            <w:tcBorders>
              <w:top w:val="nil"/>
              <w:left w:val="nil"/>
              <w:bottom w:val="nil"/>
              <w:right w:val="nil"/>
            </w:tcBorders>
            <w:shd w:val="clear" w:color="auto" w:fill="auto"/>
            <w:noWrap/>
            <w:vAlign w:val="bottom"/>
          </w:tcPr>
          <w:p w:rsidR="00CC3868" w:rsidRPr="00DA61DC" w:rsidRDefault="00CC3868" w:rsidP="00C63E93">
            <w:pPr>
              <w:spacing w:after="0" w:line="240" w:lineRule="auto"/>
              <w:rPr>
                <w:rFonts w:ascii="Garamond" w:eastAsia="Times New Roman" w:hAnsi="Garamond" w:cs="Times New Roman"/>
                <w:color w:val="auto"/>
                <w:lang w:eastAsia="en-US"/>
              </w:rPr>
            </w:pPr>
          </w:p>
        </w:tc>
        <w:tc>
          <w:tcPr>
            <w:tcW w:w="620" w:type="dxa"/>
            <w:tcBorders>
              <w:top w:val="nil"/>
              <w:left w:val="nil"/>
              <w:bottom w:val="nil"/>
              <w:right w:val="nil"/>
            </w:tcBorders>
            <w:shd w:val="clear" w:color="auto" w:fill="auto"/>
            <w:noWrap/>
            <w:vAlign w:val="bottom"/>
          </w:tcPr>
          <w:p w:rsidR="00CC3868" w:rsidRPr="00DA61DC" w:rsidRDefault="00CC3868" w:rsidP="00C63E93">
            <w:pPr>
              <w:spacing w:after="0" w:line="240" w:lineRule="auto"/>
              <w:rPr>
                <w:rFonts w:ascii="Garamond" w:eastAsia="Times New Roman" w:hAnsi="Garamond" w:cs="Times New Roman"/>
                <w:color w:val="auto"/>
                <w:lang w:eastAsia="en-US"/>
              </w:rPr>
            </w:pPr>
          </w:p>
        </w:tc>
        <w:tc>
          <w:tcPr>
            <w:tcW w:w="3955" w:type="dxa"/>
            <w:gridSpan w:val="2"/>
            <w:tcBorders>
              <w:top w:val="nil"/>
              <w:left w:val="nil"/>
              <w:bottom w:val="nil"/>
              <w:right w:val="nil"/>
            </w:tcBorders>
            <w:shd w:val="clear" w:color="auto" w:fill="auto"/>
            <w:noWrap/>
            <w:vAlign w:val="bottom"/>
          </w:tcPr>
          <w:p w:rsidR="00CC3868" w:rsidRPr="00DA61DC" w:rsidRDefault="00CC3868" w:rsidP="00C63E93">
            <w:pPr>
              <w:spacing w:after="0" w:line="240" w:lineRule="auto"/>
              <w:rPr>
                <w:rFonts w:ascii="Garamond" w:eastAsia="Times New Roman" w:hAnsi="Garamond" w:cs="Times New Roman"/>
                <w:color w:val="auto"/>
                <w:lang w:eastAsia="en-US"/>
              </w:rPr>
            </w:pPr>
          </w:p>
        </w:tc>
      </w:tr>
      <w:tr w:rsidR="00CC3868" w:rsidRPr="00DA61DC" w:rsidTr="00C63E93">
        <w:trPr>
          <w:trHeight w:val="300"/>
        </w:trPr>
        <w:tc>
          <w:tcPr>
            <w:tcW w:w="4493"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lastRenderedPageBreak/>
              <w:t>Requirement</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Yes</w:t>
            </w:r>
          </w:p>
        </w:tc>
        <w:tc>
          <w:tcPr>
            <w:tcW w:w="590" w:type="dxa"/>
            <w:tcBorders>
              <w:top w:val="single" w:sz="4" w:space="0" w:color="auto"/>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No</w:t>
            </w: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N/A</w:t>
            </w: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Comments</w:t>
            </w:r>
          </w:p>
        </w:tc>
      </w:tr>
      <w:tr w:rsidR="00CC3868" w:rsidRPr="00DA61DC" w:rsidTr="00C63E93">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D.  Binding Arbitration</w:t>
            </w:r>
          </w:p>
        </w:tc>
      </w:tr>
      <w:tr w:rsidR="00CC3868" w:rsidRPr="00DA61DC" w:rsidTr="00C63E93">
        <w:trPr>
          <w:trHeight w:val="585"/>
        </w:trPr>
        <w:tc>
          <w:tcPr>
            <w:tcW w:w="4493" w:type="dxa"/>
            <w:tcBorders>
              <w:top w:val="nil"/>
              <w:left w:val="single" w:sz="4" w:space="0" w:color="auto"/>
              <w:bottom w:val="single" w:sz="4" w:space="0" w:color="auto"/>
              <w:right w:val="single" w:sz="4" w:space="0" w:color="auto"/>
            </w:tcBorders>
            <w:shd w:val="clear" w:color="auto" w:fill="auto"/>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xml:space="preserve">The filing party may submit the grievance to binding arbitration if the decision of the hearing is </w:t>
            </w:r>
            <w:proofErr w:type="gramStart"/>
            <w:r w:rsidRPr="00DA61DC">
              <w:rPr>
                <w:rFonts w:ascii="Garamond" w:eastAsia="Times New Roman" w:hAnsi="Garamond" w:cs="Times New Roman"/>
                <w:color w:val="000000"/>
                <w:sz w:val="22"/>
                <w:szCs w:val="22"/>
                <w:lang w:eastAsia="en-US"/>
              </w:rPr>
              <w:t>adverse</w:t>
            </w:r>
            <w:proofErr w:type="gramEnd"/>
            <w:r w:rsidRPr="00DA61DC">
              <w:rPr>
                <w:rFonts w:ascii="Garamond" w:eastAsia="Times New Roman" w:hAnsi="Garamond" w:cs="Times New Roman"/>
                <w:color w:val="000000"/>
                <w:sz w:val="22"/>
                <w:szCs w:val="22"/>
                <w:lang w:eastAsia="en-US"/>
              </w:rPr>
              <w:t xml:space="preserve"> to the grievant, or if no decision has been reached in 60 days.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 qualified arbitrator is used who is jointly selected and independent of the interested parties.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Corporation’s CEO appoints an arbitrator if the parties cannot agree on an arbitrator within 15 calendar days.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15"/>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Arbitration is held no later than 45 calendar days after the request for arbitration – or 30 days after an arbitrator is appointed by the Corporation’s CEO.</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 decision is made by the arbitrator no later than 30 days after arbitration commences.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1095"/>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CC3868" w:rsidRPr="00DA61DC" w:rsidRDefault="00CC3868" w:rsidP="00C63E93">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E. Other Points. The policy:</w:t>
            </w: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D</w:t>
            </w:r>
            <w:r w:rsidRPr="00DA61DC">
              <w:rPr>
                <w:rFonts w:ascii="Garamond" w:eastAsia="Times New Roman" w:hAnsi="Garamond" w:cs="Times New Roman"/>
                <w:color w:val="000000"/>
                <w:sz w:val="22"/>
                <w:szCs w:val="22"/>
                <w:lang w:eastAsia="en-US"/>
              </w:rPr>
              <w:t>oes not include any reference to employment/job.</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C</w:t>
            </w:r>
            <w:r w:rsidRPr="00DA61DC">
              <w:rPr>
                <w:rFonts w:ascii="Garamond" w:eastAsia="Times New Roman" w:hAnsi="Garamond" w:cs="Times New Roman"/>
                <w:color w:val="000000"/>
                <w:sz w:val="22"/>
                <w:szCs w:val="22"/>
                <w:lang w:eastAsia="en-US"/>
              </w:rPr>
              <w:t>learly states who the member submits the grievance to.</w:t>
            </w:r>
          </w:p>
        </w:tc>
        <w:tc>
          <w:tcPr>
            <w:tcW w:w="590" w:type="dxa"/>
            <w:gridSpan w:val="2"/>
            <w:tcBorders>
              <w:top w:val="nil"/>
              <w:left w:val="nil"/>
              <w:bottom w:val="single" w:sz="4" w:space="0" w:color="auto"/>
              <w:right w:val="single" w:sz="4" w:space="0" w:color="auto"/>
            </w:tcBorders>
            <w:shd w:val="clear" w:color="000000" w:fill="DDEBF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590" w:type="dxa"/>
            <w:tcBorders>
              <w:top w:val="nil"/>
              <w:left w:val="nil"/>
              <w:bottom w:val="single" w:sz="4" w:space="0" w:color="auto"/>
              <w:right w:val="single" w:sz="4" w:space="0" w:color="auto"/>
            </w:tcBorders>
            <w:shd w:val="clear" w:color="000000" w:fill="E8F2E2"/>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720" w:type="dxa"/>
            <w:gridSpan w:val="2"/>
            <w:tcBorders>
              <w:top w:val="nil"/>
              <w:left w:val="nil"/>
              <w:bottom w:val="single" w:sz="4" w:space="0" w:color="auto"/>
              <w:right w:val="single" w:sz="4" w:space="0" w:color="auto"/>
            </w:tcBorders>
            <w:shd w:val="clear" w:color="000000" w:fill="FDEFE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3960" w:type="dxa"/>
            <w:gridSpan w:val="2"/>
            <w:tcBorders>
              <w:top w:val="nil"/>
              <w:left w:val="nil"/>
              <w:bottom w:val="single" w:sz="4" w:space="0" w:color="auto"/>
              <w:right w:val="single" w:sz="4" w:space="0" w:color="auto"/>
            </w:tcBorders>
            <w:shd w:val="clear" w:color="000000" w:fill="FFF6DD"/>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L</w:t>
            </w:r>
            <w:r w:rsidRPr="00DA61DC">
              <w:rPr>
                <w:rFonts w:ascii="Garamond" w:eastAsia="Times New Roman" w:hAnsi="Garamond" w:cs="Times New Roman"/>
                <w:color w:val="000000"/>
                <w:sz w:val="22"/>
                <w:szCs w:val="22"/>
                <w:lang w:eastAsia="en-US"/>
              </w:rPr>
              <w:t xml:space="preserve">ists who the member submits their grievance to if the grievance is with program staff. </w:t>
            </w:r>
          </w:p>
        </w:tc>
        <w:tc>
          <w:tcPr>
            <w:tcW w:w="590" w:type="dxa"/>
            <w:gridSpan w:val="2"/>
            <w:tcBorders>
              <w:top w:val="nil"/>
              <w:left w:val="nil"/>
              <w:bottom w:val="single" w:sz="4" w:space="0" w:color="auto"/>
              <w:right w:val="single" w:sz="4" w:space="0" w:color="auto"/>
            </w:tcBorders>
            <w:shd w:val="clear" w:color="000000" w:fill="DDEBF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590" w:type="dxa"/>
            <w:tcBorders>
              <w:top w:val="nil"/>
              <w:left w:val="nil"/>
              <w:bottom w:val="single" w:sz="4" w:space="0" w:color="auto"/>
              <w:right w:val="single" w:sz="4" w:space="0" w:color="auto"/>
            </w:tcBorders>
            <w:shd w:val="clear" w:color="000000" w:fill="E8F2E2"/>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720" w:type="dxa"/>
            <w:gridSpan w:val="2"/>
            <w:tcBorders>
              <w:top w:val="nil"/>
              <w:left w:val="nil"/>
              <w:bottom w:val="single" w:sz="4" w:space="0" w:color="auto"/>
              <w:right w:val="single" w:sz="4" w:space="0" w:color="auto"/>
            </w:tcBorders>
            <w:shd w:val="clear" w:color="000000" w:fill="FDEFE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3960" w:type="dxa"/>
            <w:gridSpan w:val="2"/>
            <w:tcBorders>
              <w:top w:val="nil"/>
              <w:left w:val="nil"/>
              <w:bottom w:val="single" w:sz="4" w:space="0" w:color="auto"/>
              <w:right w:val="single" w:sz="4" w:space="0" w:color="auto"/>
            </w:tcBorders>
            <w:shd w:val="clear" w:color="000000" w:fill="FFF6DD"/>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r>
      <w:tr w:rsidR="00CC3868" w:rsidRPr="00DA61DC" w:rsidTr="00C63E93">
        <w:trPr>
          <w:trHeight w:val="300"/>
        </w:trPr>
        <w:tc>
          <w:tcPr>
            <w:tcW w:w="4493" w:type="dxa"/>
            <w:tcBorders>
              <w:top w:val="nil"/>
              <w:left w:val="single" w:sz="4" w:space="0" w:color="auto"/>
              <w:bottom w:val="single" w:sz="4" w:space="0" w:color="auto"/>
              <w:right w:val="single" w:sz="4" w:space="0" w:color="auto"/>
            </w:tcBorders>
            <w:shd w:val="clear" w:color="auto" w:fill="auto"/>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S</w:t>
            </w:r>
            <w:r w:rsidRPr="00DA61DC">
              <w:rPr>
                <w:rFonts w:ascii="Garamond" w:eastAsia="Times New Roman" w:hAnsi="Garamond" w:cs="Times New Roman"/>
                <w:color w:val="000000"/>
                <w:sz w:val="22"/>
                <w:szCs w:val="22"/>
                <w:lang w:eastAsia="en-US"/>
              </w:rPr>
              <w:t>tates “If the grievance alleges fraud or criminal activity, it must immediately be brought to the attention of the Corporation's inspector general. Visit www.cncsoig.gov or call the OIG hotline at (800) 452-8210.”</w:t>
            </w:r>
          </w:p>
        </w:tc>
        <w:tc>
          <w:tcPr>
            <w:tcW w:w="590" w:type="dxa"/>
            <w:gridSpan w:val="2"/>
            <w:tcBorders>
              <w:top w:val="nil"/>
              <w:left w:val="nil"/>
              <w:bottom w:val="single" w:sz="4" w:space="0" w:color="auto"/>
              <w:right w:val="single" w:sz="4" w:space="0" w:color="auto"/>
            </w:tcBorders>
            <w:shd w:val="clear" w:color="000000" w:fill="DDEBF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590" w:type="dxa"/>
            <w:tcBorders>
              <w:top w:val="nil"/>
              <w:left w:val="nil"/>
              <w:bottom w:val="single" w:sz="4" w:space="0" w:color="auto"/>
              <w:right w:val="single" w:sz="4" w:space="0" w:color="auto"/>
            </w:tcBorders>
            <w:shd w:val="clear" w:color="000000" w:fill="E8F2E2"/>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720" w:type="dxa"/>
            <w:gridSpan w:val="2"/>
            <w:tcBorders>
              <w:top w:val="nil"/>
              <w:left w:val="nil"/>
              <w:bottom w:val="single" w:sz="4" w:space="0" w:color="auto"/>
              <w:right w:val="single" w:sz="4" w:space="0" w:color="auto"/>
            </w:tcBorders>
            <w:shd w:val="clear" w:color="000000" w:fill="FDEFE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3960" w:type="dxa"/>
            <w:gridSpan w:val="2"/>
            <w:tcBorders>
              <w:top w:val="nil"/>
              <w:left w:val="nil"/>
              <w:bottom w:val="single" w:sz="4" w:space="0" w:color="auto"/>
              <w:right w:val="single" w:sz="4" w:space="0" w:color="auto"/>
            </w:tcBorders>
            <w:shd w:val="clear" w:color="000000" w:fill="FFF6DD"/>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r>
      <w:tr w:rsidR="00CC3868" w:rsidRPr="00DA61DC" w:rsidTr="00C63E93">
        <w:trPr>
          <w:trHeight w:val="615"/>
        </w:trPr>
        <w:tc>
          <w:tcPr>
            <w:tcW w:w="4493" w:type="dxa"/>
            <w:tcBorders>
              <w:top w:val="nil"/>
              <w:left w:val="single" w:sz="4" w:space="0" w:color="auto"/>
              <w:bottom w:val="single" w:sz="4" w:space="0" w:color="auto"/>
              <w:right w:val="single" w:sz="4" w:space="0" w:color="auto"/>
            </w:tcBorders>
            <w:shd w:val="clear" w:color="auto" w:fill="auto"/>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States “If the grievance is regarding a proposed participant placement, the placement is not to be made unless it is consistent with the resolution of the grievance.”</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CC3868" w:rsidRPr="00DA61DC" w:rsidTr="00C63E93">
        <w:trPr>
          <w:trHeight w:val="615"/>
        </w:trPr>
        <w:tc>
          <w:tcPr>
            <w:tcW w:w="4493" w:type="dxa"/>
            <w:tcBorders>
              <w:top w:val="single" w:sz="4" w:space="0" w:color="auto"/>
              <w:left w:val="single" w:sz="4" w:space="0" w:color="auto"/>
              <w:bottom w:val="single" w:sz="4" w:space="0" w:color="auto"/>
              <w:right w:val="single" w:sz="4" w:space="0" w:color="auto"/>
            </w:tcBorders>
            <w:shd w:val="clear" w:color="auto" w:fill="auto"/>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Best Practice: Does the grievance policy cover all parties, including the public, service locations, applicants, or anyone who may file a grievance?</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E8F2E2"/>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r>
      <w:tr w:rsidR="00CC3868" w:rsidRPr="00DA61DC" w:rsidTr="00C63E93">
        <w:trPr>
          <w:trHeight w:val="615"/>
        </w:trPr>
        <w:tc>
          <w:tcPr>
            <w:tcW w:w="4493" w:type="dxa"/>
            <w:tcBorders>
              <w:top w:val="single" w:sz="4" w:space="0" w:color="auto"/>
              <w:left w:val="single" w:sz="4" w:space="0" w:color="auto"/>
              <w:bottom w:val="single" w:sz="4" w:space="0" w:color="auto"/>
              <w:right w:val="single" w:sz="4" w:space="0" w:color="auto"/>
            </w:tcBorders>
            <w:shd w:val="clear" w:color="auto" w:fill="auto"/>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Best Practice. Does the member handbook/manual contain the grievance process?</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E8F2E2"/>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r>
      <w:tr w:rsidR="00CC3868" w:rsidRPr="00DA61DC" w:rsidTr="00C63E93">
        <w:trPr>
          <w:trHeight w:val="615"/>
        </w:trPr>
        <w:tc>
          <w:tcPr>
            <w:tcW w:w="4493" w:type="dxa"/>
            <w:tcBorders>
              <w:top w:val="single" w:sz="4" w:space="0" w:color="auto"/>
              <w:left w:val="single" w:sz="4" w:space="0" w:color="auto"/>
              <w:bottom w:val="single" w:sz="4" w:space="0" w:color="auto"/>
              <w:right w:val="single" w:sz="4" w:space="0" w:color="auto"/>
            </w:tcBorders>
            <w:shd w:val="clear" w:color="auto" w:fill="auto"/>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xml:space="preserve">Best Practice: Is a copy of the grievance process posted online for public access? </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E8F2E2"/>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tcPr>
          <w:p w:rsidR="00CC3868" w:rsidRPr="00DA61DC" w:rsidRDefault="00CC3868" w:rsidP="00C63E93">
            <w:pPr>
              <w:spacing w:after="0" w:line="240" w:lineRule="auto"/>
              <w:rPr>
                <w:rFonts w:ascii="Garamond" w:eastAsia="Times New Roman" w:hAnsi="Garamond" w:cs="Times New Roman"/>
                <w:color w:val="000000"/>
                <w:sz w:val="22"/>
                <w:szCs w:val="22"/>
                <w:lang w:eastAsia="en-US"/>
              </w:rPr>
            </w:pPr>
          </w:p>
        </w:tc>
      </w:tr>
    </w:tbl>
    <w:p w:rsidR="00CC3868" w:rsidRPr="00DA61DC" w:rsidRDefault="00CC3868" w:rsidP="00CC3868">
      <w:pPr>
        <w:spacing w:after="0" w:line="240" w:lineRule="auto"/>
        <w:rPr>
          <w:rFonts w:ascii="Garamond" w:hAnsi="Garamond"/>
          <w:b/>
          <w:color w:val="auto"/>
          <w:sz w:val="16"/>
          <w:szCs w:val="16"/>
        </w:rPr>
      </w:pPr>
    </w:p>
    <w:p w:rsidR="00CC3868" w:rsidRPr="00DA61DC" w:rsidRDefault="00CC3868" w:rsidP="00CC3868">
      <w:pPr>
        <w:spacing w:after="0" w:line="240" w:lineRule="auto"/>
        <w:rPr>
          <w:rFonts w:ascii="Garamond" w:hAnsi="Garamond"/>
          <w:b/>
          <w:color w:val="auto"/>
          <w:sz w:val="16"/>
          <w:szCs w:val="16"/>
        </w:rPr>
      </w:pPr>
    </w:p>
    <w:p w:rsidR="00CC3868" w:rsidRPr="00DA61DC" w:rsidRDefault="00CC3868" w:rsidP="00CC3868">
      <w:pPr>
        <w:spacing w:after="0" w:line="240" w:lineRule="auto"/>
        <w:rPr>
          <w:rFonts w:ascii="Garamond" w:hAnsi="Garamond"/>
          <w:b/>
          <w:color w:val="auto"/>
          <w:sz w:val="16"/>
          <w:szCs w:val="16"/>
        </w:rPr>
      </w:pPr>
    </w:p>
    <w:p w:rsidR="00324CAA" w:rsidRDefault="00324CAA"/>
    <w:sectPr w:rsidR="00324CAA" w:rsidSect="00CC3868">
      <w:pgSz w:w="12240" w:h="15840" w:code="1"/>
      <w:pgMar w:top="1008" w:right="1008" w:bottom="1008" w:left="1008" w:header="720" w:footer="576"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68"/>
    <w:rsid w:val="00324CAA"/>
    <w:rsid w:val="004173C7"/>
    <w:rsid w:val="00877B98"/>
    <w:rsid w:val="00CC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5B91-55BF-4C12-BB17-DCA7C0A2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868"/>
    <w:pPr>
      <w:spacing w:after="320" w:line="300" w:lineRule="auto"/>
    </w:pPr>
    <w:rPr>
      <w:rFonts w:asciiTheme="minorHAnsi" w:eastAsiaTheme="minorEastAsia" w:hAnsiTheme="minorHAnsi"/>
      <w:color w:val="44546A" w:themeColor="text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2</cp:revision>
  <dcterms:created xsi:type="dcterms:W3CDTF">2019-09-03T12:21:00Z</dcterms:created>
  <dcterms:modified xsi:type="dcterms:W3CDTF">2019-09-03T12:21:00Z</dcterms:modified>
</cp:coreProperties>
</file>